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83" w:rsidRPr="00CA6E29" w:rsidRDefault="006610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 политика для целей бухгалтерского учета</w:t>
      </w:r>
    </w:p>
    <w:p w:rsidR="00E32764" w:rsidRPr="00E32764" w:rsidRDefault="00E32764" w:rsidP="00E32764">
      <w:pPr>
        <w:pStyle w:val="a3"/>
        <w:numPr>
          <w:ilvl w:val="0"/>
          <w:numId w:val="1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764" w:rsidRPr="00E32764" w:rsidRDefault="00E32764" w:rsidP="00E32764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64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ГБУЗ «</w:t>
      </w:r>
      <w:proofErr w:type="spellStart"/>
      <w:r w:rsidRPr="00E32764">
        <w:rPr>
          <w:rFonts w:hAnsi="Times New Roman" w:cs="Times New Roman"/>
          <w:color w:val="000000"/>
          <w:sz w:val="24"/>
          <w:szCs w:val="24"/>
          <w:lang w:val="ru-RU"/>
        </w:rPr>
        <w:t>Новокубанская</w:t>
      </w:r>
      <w:proofErr w:type="spellEnd"/>
      <w:r w:rsidRPr="00E32764">
        <w:rPr>
          <w:rFonts w:hAnsi="Times New Roman" w:cs="Times New Roman"/>
          <w:color w:val="000000"/>
          <w:sz w:val="24"/>
          <w:szCs w:val="24"/>
          <w:lang w:val="ru-RU"/>
        </w:rPr>
        <w:t xml:space="preserve"> ЦРБ» разработана в соответствии:</w:t>
      </w:r>
    </w:p>
    <w:p w:rsidR="00E82F83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E82F83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E82F83" w:rsidRPr="00CA6E29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:rsidR="00E82F83" w:rsidRPr="00CA6E29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:rsidR="00E82F83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E82F83" w:rsidRDefault="006610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:rsidR="00E82F83" w:rsidRPr="00CA6E29" w:rsidRDefault="006610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256н, 257н, 258н, 259н, 260н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274н, 275н, 277н, 278н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27.02.2018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32н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СГС «Доходы»),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28.02.2018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СГС «Непроизведенные активы»),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30.05.2018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122н, 124н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07.12.2018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СГС «Запасы»),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29.06.2018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145н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15.11.2019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181н, 182н, 183н, 184н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«Нематериальные активы», СГС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30.06.2020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129н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— СГС «Финансовые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инструменты»), от 30.10.2020 № 254н (далее – СГС «Метод долевого участия»), от 16.12.2020 № 310н (далее – СГС «Биологические активы»).</w:t>
      </w:r>
      <w:proofErr w:type="gramEnd"/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BA09B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ГБУЗ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Новокубанская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82F83" w:rsidRPr="006109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E82F83" w:rsidRPr="006109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CA6E29">
              <w:rPr>
                <w:lang w:val="ru-RU"/>
              </w:rPr>
              <w:br/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CA6E29">
              <w:rPr>
                <w:lang w:val="ru-RU"/>
              </w:rPr>
              <w:br/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 xml:space="preserve"> .</w:t>
      </w:r>
      <w:proofErr w:type="gramEnd"/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 xml:space="preserve"> Общие положения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E327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E82F83" w:rsidRPr="00CA6E29" w:rsidRDefault="006610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E82F83" w:rsidRDefault="006610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2);</w:t>
      </w:r>
    </w:p>
    <w:p w:rsidR="00E82F83" w:rsidRPr="00CA6E29" w:rsidRDefault="006610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:rsidR="00E82F83" w:rsidRPr="00CA6E29" w:rsidRDefault="006610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:rsidR="00E82F83" w:rsidRPr="00CA6E29" w:rsidRDefault="00E327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Учреждение публикует основные положения учетной политики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="006610D9" w:rsidRPr="00CA6E29">
        <w:rPr>
          <w:lang w:val="ru-RU"/>
        </w:rPr>
        <w:br/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E82F83" w:rsidRPr="00CA6E29" w:rsidRDefault="00E327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0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При внесении изменений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существенных 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ошибках.</w:t>
      </w:r>
      <w:r w:rsidR="006610D9" w:rsidRPr="00CA6E29">
        <w:rPr>
          <w:lang w:val="ru-RU"/>
        </w:rPr>
        <w:br/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ведется с использованием Рабочего плана счетов (приложение 10), разработанного в соответствии с Инструкцией к Единому плану счетов № 157н, 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отражении в 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"/>
        <w:gridCol w:w="8053"/>
      </w:tblGrid>
      <w:tr w:rsidR="00E82F83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E82F83" w:rsidRPr="006109C0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0903 «Медицинская помощь в дневных стационарах всех типов»</w:t>
            </w:r>
            <w:r w:rsidRPr="00CA6E29">
              <w:rPr>
                <w:lang w:val="ru-RU"/>
              </w:rPr>
              <w:br/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E82F83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E82F83" w:rsidRPr="00CA6E29" w:rsidRDefault="006610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E82F83" w:rsidRPr="00CA6E29" w:rsidRDefault="006610D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E82F83" w:rsidRDefault="006610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E82F83" w:rsidRPr="006109C0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E82F83" w:rsidRPr="00CA6E29" w:rsidRDefault="006610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E82F83" w:rsidRDefault="006610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2F83" w:rsidRPr="00CA6E29" w:rsidRDefault="006610D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 w:rsidRPr="00CA6E29">
              <w:rPr>
                <w:lang w:val="ru-RU"/>
              </w:rPr>
              <w:br/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E82F83" w:rsidRPr="006109C0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E82F83" w:rsidRPr="00CA6E29" w:rsidRDefault="006610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— приносящая доход деятельность (собственные доходы</w:t>
            </w:r>
            <w:r w:rsidRPr="00CA6E29">
              <w:rPr>
                <w:lang w:val="ru-RU"/>
              </w:rPr>
              <w:br/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учреждения);</w:t>
            </w:r>
          </w:p>
          <w:p w:rsidR="00E82F83" w:rsidRDefault="006610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2F83" w:rsidRPr="00CA6E29" w:rsidRDefault="006610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— субсидия на выполнение государственного задания;</w:t>
            </w:r>
          </w:p>
          <w:p w:rsidR="00E82F83" w:rsidRDefault="006610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2F83" w:rsidRPr="006610D9" w:rsidRDefault="006610D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— субсидии на цели осуществления капитальных вложений</w:t>
            </w:r>
          </w:p>
          <w:p w:rsidR="006610D9" w:rsidRPr="00CA6E29" w:rsidRDefault="006610D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– средства по обязательному медицинскому страхованию</w:t>
            </w:r>
          </w:p>
        </w:tc>
      </w:tr>
    </w:tbl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21–21.2 Инструкции к Единому плану счетов № 157н, пункт 2.1 Инструкции № 174н.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 № 157н, учреждение применяет дополнительные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 Рабочем плане счетов.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 157н, пункт 19 СГС «Концептуальные основы бухучета и отчетности».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proofErr w:type="gramStart"/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 xml:space="preserve">Технология 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составления</w:t>
      </w:r>
      <w:proofErr w:type="gramEnd"/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, передачи документов для отражения в бухгалтерском учете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применением программных продуктов «Бухгалтерия», «Зарплата».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E82F83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казначейства;</w:t>
      </w:r>
    </w:p>
    <w:p w:rsidR="00E82F83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:rsidR="00E82F83" w:rsidRPr="00CA6E29" w:rsidRDefault="006610D9" w:rsidP="0067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2F83" w:rsidRDefault="006610D9" w:rsidP="0067518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...</w:t>
      </w:r>
    </w:p>
    <w:p w:rsidR="00E82F83" w:rsidRPr="00CA6E29" w:rsidRDefault="00ED7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документов бухгалтерского учета и их обмен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внутри учреждения осуществляется с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КОРП</w:t>
      </w:r>
      <w:proofErr w:type="gram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ГИИС «Электронный бюджет».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Обмен финансовыми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СУФД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E82F83" w:rsidRPr="00CA6E29" w:rsidRDefault="006610D9" w:rsidP="006751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сервере ежедневно производится сохранение резервных копий базы «Бухгалтерия» 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«Зарплата»;</w:t>
      </w:r>
    </w:p>
    <w:p w:rsidR="00E82F83" w:rsidRPr="00CA6E29" w:rsidRDefault="006610D9" w:rsidP="006751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итогам квартала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отчетного года после сдачи отчетности производится запись копии базы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внешний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-карту, которая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сейфе главного бухгалтера;</w:t>
      </w:r>
    </w:p>
    <w:p w:rsidR="00E82F83" w:rsidRPr="00CA6E29" w:rsidRDefault="006610D9" w:rsidP="0067518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IV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графике документооборота (приложение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 случае, если ответственный сотрудник не передал в бухгалтерию первичный документ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срок, установленный в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,г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лавный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 со дня истечения срока представления документа по графику.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Форма 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утверждена в приложении к учетной политике.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ошибки»,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 Закона № 402-ФЗ.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 При проведении хозяйственных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используются унифицированные документы.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для оформления хозяйственных операций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предусмотрены унифицированные документы, используются:</w:t>
      </w:r>
    </w:p>
    <w:p w:rsidR="00E82F83" w:rsidRPr="00CA6E29" w:rsidRDefault="006610D9" w:rsidP="006751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5;</w:t>
      </w:r>
    </w:p>
    <w:p w:rsidR="00E82F83" w:rsidRPr="00CA6E29" w:rsidRDefault="006610D9" w:rsidP="0067518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пункт 11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ошибки», подпункт «а» пункта 6 приложения № 2 к данному стандарту.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контроле (приложение 11).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 Право подписи учетных документов предоставлено сотрудникам, занимающим должности, перечисленные в приложении 6. По</w:t>
      </w:r>
      <w:r w:rsidR="00AF37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фамильный список сотрудников, имеющих право подписи, утверждается отдельным приказом руководителя.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пункт 8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имущества.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Все документы бухгалтерского учета формируются на русском языке. При поступлении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отдельном документе, содержащем построчно: строка оригинала – строка перевода, заверяются подписью сотрудника, составившего перевод,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типовой форме (идентичны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количеству граф,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названию, расшифровке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отличаются только суммой),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отношении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постоянных показателей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достаточно однократного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отчетности», пункт 7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документе указывается информация, позволяющая идентифицировать соответствующий документ-основание.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9.Формирование электронных регистров бухгалтерского 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Журнал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0509213) по всем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счету;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:rsidR="00E82F83" w:rsidRPr="00CA6E29" w:rsidRDefault="006610D9" w:rsidP="0067518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оплате труда, денежному довольствию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стипендиям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0504071) ведется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счетам:</w:t>
      </w:r>
    </w:p>
    <w:p w:rsidR="00E82F83" w:rsidRPr="00CA6E29" w:rsidRDefault="006610D9" w:rsidP="006751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Х.302.11.000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заработной плате»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начислениям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оплате труда»;</w:t>
      </w:r>
    </w:p>
    <w:p w:rsidR="00E82F83" w:rsidRPr="00CA6E29" w:rsidRDefault="006610D9" w:rsidP="006751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Х.302.12.000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Х.302.14.000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E82F83" w:rsidRPr="00CA6E29" w:rsidRDefault="006610D9" w:rsidP="006751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социальным 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Х.302.67.000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социальным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E82F83" w:rsidRPr="00CA6E29" w:rsidRDefault="006610D9" w:rsidP="0067518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КБК Х.302.96.000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иным выплатам текущего характера физическим лицам».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11. Журналам операций присваиваются номера согласно приложению 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журналам прилагаются первичные учетные документы согласно приложению 8.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12.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подписанного квалифицированной электронной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заверен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собственноручной подписью;</w:t>
      </w:r>
    </w:p>
    <w:p w:rsidR="00E82F83" w:rsidRDefault="006610D9" w:rsidP="0067518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автоматически – на компьютере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посредством формирования электронного образа бумажного документа, содержащего обязательные реквизиты, предусмотренные формой документа.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распечатывается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собственноручного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бумажном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передачи в бухгалтерию изготавливаются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 с собственноручными подписями – бумажных или автоматически сформированных.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изготавливает, подписывает электронной цифровой подписью (далее – ЭП) и несет ответственность за соответствие подлиннику документа сотрудник, составивший соответствующий подлинник.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10, 12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13. По требованию контролирующих ведомств первичные документы и регистры учета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многостраничного документа заверяется копия каждого листа.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Электронные документы и регистры учета,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 Инструкции к Единому плану счетов № 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15. При необходимости изготовления бумажных копий электронных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системе электронного документооборота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4325">
        <w:rPr>
          <w:rFonts w:hAnsi="Times New Roman" w:cs="Times New Roman"/>
          <w:color w:val="000000"/>
          <w:sz w:val="24"/>
          <w:szCs w:val="24"/>
          <w:lang w:val="ru-RU"/>
        </w:rPr>
        <w:t xml:space="preserve">ГБУЗ </w:t>
      </w:r>
      <w:proofErr w:type="spellStart"/>
      <w:r w:rsidR="00D34325">
        <w:rPr>
          <w:rFonts w:hAnsi="Times New Roman" w:cs="Times New Roman"/>
          <w:color w:val="000000"/>
          <w:sz w:val="24"/>
          <w:szCs w:val="24"/>
          <w:lang w:val="ru-RU"/>
        </w:rPr>
        <w:t>Новокубанская</w:t>
      </w:r>
      <w:proofErr w:type="spellEnd"/>
      <w:r w:rsidR="00D34325">
        <w:rPr>
          <w:rFonts w:hAnsi="Times New Roman" w:cs="Times New Roman"/>
          <w:color w:val="000000"/>
          <w:sz w:val="24"/>
          <w:szCs w:val="24"/>
          <w:lang w:val="ru-RU"/>
        </w:rPr>
        <w:t xml:space="preserve"> ЦРБ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указанием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сертификате ЭП — кому выдан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 действия. Дополнительно сотрудник бухгалтерии,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обработку документа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ведение регистра, ставит надпись «Копия верна», дату распечатки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свою подпись.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D34325" w:rsidRPr="00A374DB" w:rsidRDefault="00D34325" w:rsidP="0067518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74DB">
        <w:rPr>
          <w:rFonts w:hAnsi="Times New Roman" w:cs="Times New Roman"/>
          <w:color w:val="000000"/>
          <w:sz w:val="24"/>
          <w:szCs w:val="24"/>
          <w:lang w:val="ru-RU"/>
        </w:rPr>
        <w:t>рецептурные бланки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наркотическое свидетельство и психотропное вещество</w:t>
      </w:r>
    </w:p>
    <w:p w:rsidR="00D34325" w:rsidRPr="00522D52" w:rsidRDefault="00D34325" w:rsidP="0067518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 вкладышей к ним;</w:t>
      </w:r>
    </w:p>
    <w:p w:rsidR="00D34325" w:rsidRPr="005552A6" w:rsidRDefault="00D34325" w:rsidP="006751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квитанции БО-17</w:t>
      </w:r>
    </w:p>
    <w:p w:rsidR="00D34325" w:rsidRPr="005552A6" w:rsidRDefault="00D34325" w:rsidP="006751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удостоверение и знаки «Почетный донор России»</w:t>
      </w:r>
    </w:p>
    <w:p w:rsidR="00D34325" w:rsidRPr="005552A6" w:rsidRDefault="00D34325" w:rsidP="006751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бланки медицинские о рождении, смерти, о перинатальной смерти</w:t>
      </w:r>
    </w:p>
    <w:p w:rsidR="00D34325" w:rsidRDefault="00D34325" w:rsidP="006751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бланки медицинского заключения о наличии (отсутствии) у водителей транспортных средств</w:t>
      </w:r>
    </w:p>
    <w:p w:rsidR="00D34325" w:rsidRDefault="00D34325" w:rsidP="006751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бланки медицинского заключения о наличии (отсутствии) медицинских противопоказаний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бланков ведется </w:t>
      </w:r>
      <w:r w:rsidR="00D34325">
        <w:rPr>
          <w:rFonts w:hAnsi="Times New Roman" w:cs="Times New Roman"/>
          <w:color w:val="000000"/>
          <w:sz w:val="24"/>
          <w:szCs w:val="24"/>
          <w:lang w:val="ru-RU"/>
        </w:rPr>
        <w:t>в количественном учете, по стоимости 1рубль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337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Списание бланков строгой отчетности с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03 «Бланки строгой отчетности» осуществляется в следующих случаях:</w:t>
      </w:r>
    </w:p>
    <w:p w:rsidR="00E82F83" w:rsidRPr="00CA6E29" w:rsidRDefault="006610D9" w:rsidP="006751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оформил бланк строгой отчетности;</w:t>
      </w:r>
    </w:p>
    <w:p w:rsidR="00E82F83" w:rsidRPr="00CA6E29" w:rsidRDefault="006610D9" w:rsidP="006751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выявлена порча, хищение или недостача;</w:t>
      </w:r>
    </w:p>
    <w:p w:rsidR="00E82F83" w:rsidRPr="00CA6E29" w:rsidRDefault="006610D9" w:rsidP="0067518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17. Перечень должностей сотрудников,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выдачу бланков строгой отчетности, приведен в приложении 9.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 Особенности применения первичных документов и регистров учета: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выявленных дефектах оборудования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форме № ОС-16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18.2. В Табеле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0504421) регистрируются случаи отклонений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графах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отражаются итоговые данные неявок.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0504421) дополнен условными обозначениями.</w:t>
      </w:r>
    </w:p>
    <w:tbl>
      <w:tblPr>
        <w:tblW w:w="73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0"/>
        <w:gridCol w:w="661"/>
      </w:tblGrid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CA6E29" w:rsidRDefault="006610D9">
            <w:pPr>
              <w:rPr>
                <w:lang w:val="ru-RU"/>
              </w:rPr>
            </w:pP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E82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6610D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Default="00E8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другие госорганы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качестве свидетеля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18.3. При временном переводе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почте посредством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согласование,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получателя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отправителю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скан-копией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подписанного документа.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18.4. Учреждение применяет путевой лист, форма которого утверждена в приложении 5 к учетной политике. Путевые листы регистрируются в бумажном журнале учета движения путевых листов, который учреждение ведет по унифицированной форме № 8 (утв. постановлением Госкомстата от 28.11.1997 № 78). Нумерация путевых листов ведется в простом хронологическом порядке, начиная с 1 января каждого следующего года.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Федеральный закон от 06.03.2022 № 39-ФЗ.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Информация о лицензии на медицинский осмотр в сведениях о медосмотре не указывается.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 один день – при коротких рейсах или перевозках в рамках одного дня;</w:t>
      </w:r>
    </w:p>
    <w:p w:rsidR="00E82F83" w:rsidRPr="00CA6E29" w:rsidRDefault="006610D9" w:rsidP="0067518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длительность рейса – для регулярных перевозок – если срок рейса превышает один день;</w:t>
      </w:r>
    </w:p>
    <w:p w:rsidR="00E82F83" w:rsidRPr="00CA6E29" w:rsidRDefault="006610D9" w:rsidP="0067518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период – месяц или неделю – для нерегулярных перевозок независимо от продолжительности рейса.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главный механик.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приложения № 2 к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18.5. Квитанция о размене наличных денег подшивается к кассовой книге (ф. 0504514) и журналу регистрации приходных и расходных кассовых ордеров (ф. 0504093) как приложение, без внесения соответствующих записей в листы кассовой книги (ф. 0504514) и журнала регистрации приходных и расходных кассовых ордеров (ф. 0504093).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19. Сотрудник,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оформление расчетных листков, высылает каждому сотруднику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его корпоративную электронную почту расчетный листок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Методы оценки объектов бухгалтерского учета, порядок их признания,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прекращения признания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и раскрытия информации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1.1.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Основные средства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также бесконтактные термометры, диспенсеры для антисептиков, штампы, печати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хозяйственный», приведен в приложении 12.</w:t>
      </w:r>
    </w:p>
    <w:p w:rsidR="00EA35A3" w:rsidRDefault="00EA35A3" w:rsidP="00EA35A3">
      <w:pPr>
        <w:rPr>
          <w:rFonts w:hAnsi="Times New Roman" w:cs="Times New Roman"/>
          <w:color w:val="000000"/>
          <w:sz w:val="24"/>
          <w:szCs w:val="24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2.2. Учреждение группирует медицинские изделия на инструменты и оборудование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Классификации, утвержденной постановлением Правительства от 01.01.2002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1, в зависимости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от сроков полезного использования.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35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35A3" w:rsidRPr="00522D52" w:rsidRDefault="00EA35A3" w:rsidP="00EA35A3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меньше двух лет – изделие относится к медицинским инструментам;</w:t>
      </w:r>
    </w:p>
    <w:p w:rsidR="00EA35A3" w:rsidRPr="00522D52" w:rsidRDefault="00EA35A3" w:rsidP="00EA35A3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два года и более – изделие относится к медицинскому оборудованию.</w:t>
      </w:r>
    </w:p>
    <w:p w:rsidR="00EA35A3" w:rsidRPr="00522D52" w:rsidRDefault="00EA35A3" w:rsidP="00EA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Срок службы определяется по технической документации и паспорту производителя.</w:t>
      </w:r>
    </w:p>
    <w:p w:rsidR="00E82F83" w:rsidRPr="00CA6E29" w:rsidRDefault="00EA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:rsidR="00E82F83" w:rsidRDefault="006610D9" w:rsidP="0067518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</w:p>
    <w:p w:rsidR="00E82F83" w:rsidRPr="00CA6E29" w:rsidRDefault="006610D9" w:rsidP="0067518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жестких дисках;</w:t>
      </w:r>
      <w:proofErr w:type="gramEnd"/>
    </w:p>
    <w:p w:rsidR="00E82F83" w:rsidRDefault="006610D9" w:rsidP="0067518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CA6E29" w:rsidRDefault="00EA35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Уникальный инвентарный номер состоит из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десяти знаков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присваивается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E82F83" w:rsidRPr="00CA6E29" w:rsidRDefault="006610D9" w:rsidP="0067518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амортизационная группа,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которой отнесен объект при принятии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 (при отнесении инвентарного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10-й амортизационной группе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данном разряде проставляется «0»);</w:t>
      </w:r>
    </w:p>
    <w:p w:rsidR="00E82F83" w:rsidRPr="00CA6E29" w:rsidRDefault="006610D9" w:rsidP="0067518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2–4-е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E82F83" w:rsidRPr="00CA6E29" w:rsidRDefault="006610D9" w:rsidP="0067518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5–6-е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код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E82F83" w:rsidRPr="00CA6E29" w:rsidRDefault="006610D9" w:rsidP="0067518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7–10-е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D73DD5" w:rsidRPr="00522D52" w:rsidRDefault="00D73DD5" w:rsidP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2.5 Присвоенный объекту инвентарный номер наносится:</w:t>
      </w:r>
    </w:p>
    <w:p w:rsidR="00D73DD5" w:rsidRPr="00522D52" w:rsidRDefault="00D73DD5" w:rsidP="00D73DD5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на объекты недвижимого имущества, строения и сооружения – несмываемой краской;</w:t>
      </w:r>
    </w:p>
    <w:p w:rsidR="00D73DD5" w:rsidRDefault="00D73DD5" w:rsidP="00D73DD5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остальные основные средства – путем прикрепления водостойкой инвентаризационной наклейки с номером;</w:t>
      </w:r>
    </w:p>
    <w:p w:rsidR="00D73DD5" w:rsidRPr="00522D52" w:rsidRDefault="00D73DD5" w:rsidP="00D73DD5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DD5" w:rsidRPr="00522D52" w:rsidRDefault="00D73DD5" w:rsidP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E82F83" w:rsidRDefault="00D73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Затраты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Default="006610D9" w:rsidP="006751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D73DD5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 w:rsidR="006610D9" w:rsidRPr="00D73DD5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D73DD5">
        <w:rPr>
          <w:rFonts w:hAnsi="Times New Roman" w:cs="Times New Roman"/>
          <w:color w:val="000000"/>
          <w:sz w:val="24"/>
          <w:szCs w:val="24"/>
          <w:lang w:val="ru-RU"/>
        </w:rPr>
        <w:t>порядке убывания важности):</w:t>
      </w:r>
    </w:p>
    <w:p w:rsidR="00E82F83" w:rsidRDefault="006610D9" w:rsidP="0067518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E82F83" w:rsidRDefault="00D73D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ремонтов (модернизаций, 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0D9"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 w:rsidR="006610D9"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Default="006610D9" w:rsidP="0067518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CA6E29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Начисление амортизации осуществляется следующим образом:</w:t>
      </w:r>
    </w:p>
    <w:p w:rsidR="00E82F83" w:rsidRPr="00CA6E29" w:rsidRDefault="00E82F83" w:rsidP="00D73DD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F83" w:rsidRPr="00CA6E29" w:rsidRDefault="006610D9" w:rsidP="0067518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73DD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D73DD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E82F83" w:rsidRPr="00CA6E29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2.12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исходя из предполагаемого срока получения экономических выгод и (или) полезного потенциала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установлен в приложении 1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E82F83" w:rsidRPr="00CA6E29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Имущество, относящееся к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 учетом критериев, установленных учредителем. Такое имущество принимается к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выписки из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протокола комиссии.</w:t>
      </w:r>
    </w:p>
    <w:p w:rsidR="00E82F83" w:rsidRPr="00CA6E29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2.14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D73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2.15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82F83" w:rsidRPr="00CA6E29" w:rsidRDefault="009A67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2.17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Ответственными за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которыми закреплены объекты. Если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E82F83" w:rsidRPr="00CA6E29" w:rsidRDefault="006610D9" w:rsidP="0067518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Первоначальная стоимость НМА, созданных учреждением, помимо затрат, указанных в пунктах 19–22 СГС «Нематериальные активы», также включает:</w:t>
      </w:r>
      <w:proofErr w:type="gramEnd"/>
    </w:p>
    <w:p w:rsidR="00E82F83" w:rsidRPr="00CA6E29" w:rsidRDefault="006610D9" w:rsidP="0067518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E82F83" w:rsidRPr="00CA6E29" w:rsidRDefault="006610D9" w:rsidP="0067518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на заработную плату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тестировщиков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программного обеспечения, созданного силами учреждения;</w:t>
      </w:r>
    </w:p>
    <w:p w:rsidR="00E82F83" w:rsidRDefault="006610D9" w:rsidP="0067518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Учреждение дополнительно раскрывает в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 ЕГРН, рассчитывается на основе</w:t>
      </w:r>
      <w:r w:rsidR="00245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кадастровой стоимости аналогичного земельного участка, который внесен в ЕГРН.</w:t>
      </w:r>
      <w:proofErr w:type="gramEnd"/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17 СГС «Непроизведенные активы».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4.2.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определяемых последовательно по мере принятия к учету непроизведенных активов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Х.Х.ХХХХХХ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ХХХ, где:</w:t>
      </w:r>
    </w:p>
    <w:p w:rsidR="00E82F83" w:rsidRPr="00CA6E29" w:rsidRDefault="006610D9" w:rsidP="006751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E82F83" w:rsidRPr="00CA6E29" w:rsidRDefault="006610D9" w:rsidP="006751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– код вида инвентарного номера «1» – индивидуальный инвентарный объект;</w:t>
      </w:r>
    </w:p>
    <w:p w:rsidR="00E82F83" w:rsidRPr="00CA6E29" w:rsidRDefault="006610D9" w:rsidP="006751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3–8-й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инвентарного объекта (000001, 000002 и т. д.);</w:t>
      </w:r>
    </w:p>
    <w:p w:rsidR="00E82F83" w:rsidRDefault="006610D9" w:rsidP="0067518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9–12-й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внутренний групповой инвентарный номер (0001, 0002 и т. 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0000.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4.3. Аналитический учет вложений в непроизведенные активы ведется в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карточке (ф. 0504054).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12.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5.2. Единица учета материальных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пачке,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количеством штук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E82F83" w:rsidRDefault="006610D9" w:rsidP="0067518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продукты питания, медикаменты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др.,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товары для продажи.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E82F83" w:rsidRPr="00CA6E29" w:rsidRDefault="009F56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:rsidR="00E82F83" w:rsidRDefault="006610D9" w:rsidP="006751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9F5694" w:rsidRPr="00CA6E29" w:rsidRDefault="009F5694" w:rsidP="006751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F83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9F5694" w:rsidRDefault="009F5694" w:rsidP="009F56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(лекарственные препараты, донорская кровь) изготавливаются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нужд учреждения и принимаются к учету по фактической стоимости на основании Требования-накладной (ф. 0504204).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. Ветошь, полученная от списания мягкого инвентаря, принимается к учету на основании Требования-накладной (ф. 0504204) по справедливой стоимости, определенной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активов методом рыночных цен.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пути запасы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сумму данных затрат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день поступления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учетной цены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отражаются.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получения полномочий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 закупке запасов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доставку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получателей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день получения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доставке.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5.8.1.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105.05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КОСГУ 345.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5.8.2. Специальные жидкости для автомобиля (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тормозная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105.03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 Установлены следующие особенности учета материальных запасов: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.1 Особенности учета медикаментов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Учет прихода и расхода медикаментов и перевязочных средств осуществляется в соответствии с Отраслевыми особенностями.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пункт 20.3 Отраслевых особенностей, утвержденных письмом </w:t>
      </w:r>
      <w:proofErr w:type="spellStart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12.07.2007 № 5435-РХ.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ведут предметно-количественный учет медикаментов и перевязочных средств. В регистрах бухгалтерского учета учет медикаментов и перевязочных средств ведется в суммовом (денежном) выражении.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5.10.2. Особенности приобретения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 топливным картам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ведомостям.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Нормы на расходы горюче-смазочных материалов (ГСМ) разрабатываются специализированной организацией и утверждаются приказом главного врача.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Ежегодно приказом главного врача утверждаются период применения зимней надбавки к нормам расхода ГСМ и ее величина.</w:t>
      </w:r>
    </w:p>
    <w:p w:rsidR="00D37614" w:rsidRPr="00522D52" w:rsidRDefault="00D37614" w:rsidP="00D3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ГСМ списывают на расходы по фактическому расходу на основании путевых листов, но не выше норм, установленных приказом главного врача.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5.10.3.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мягкого инвентаря.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Учитывается мягкий инвентарь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наименованиям, сортам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для каждого наименования объекта учета используется отдельная страница книги учета материальных ценностей (ф. 0504042). Бухгалтерия учреждения систематически контролирует поступление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расходование мягкого инвентаря, находящегося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складе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местах хранения,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также сверяет данные учета инвентаря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записями, которые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складе. Результаты таких проверок фиксируются соответствующими записями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отдельной 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конце книги учета материальных ценностей.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маркирует кладовщик в присутствии одного из членов комиссии по поступлению и выбытию нефинансовых активов. Маркировочные штампы хранятся у заместителя главного врача по административно-хозяйственной части. Срок маркировки не позднее дня, следующего за днем поступления мягкого инвентаря на склад.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Мягкий инвентарь, поступивший в учреждение в комплектах, разукомплектовывается и учитывается поштучно, что оформляется самостоятельно разработанным актом </w:t>
      </w:r>
      <w:proofErr w:type="spellStart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выдаче мягкого инвентаря в эксплуатацию проводится </w:t>
      </w:r>
      <w:proofErr w:type="gramStart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proofErr w:type="gramEnd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 маркировку с указанием года и месяца выдачи со склада.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Маркировочные штампы хранит главный врач.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Мягкий инвентарь выдается в эксплуатацию по ведомости выдачи материальных ценностей на нужды учреждения (ф. 0504210).</w:t>
      </w:r>
    </w:p>
    <w:p w:rsidR="00C85A84" w:rsidRPr="00522D52" w:rsidRDefault="00C85A84" w:rsidP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(ф. 0510450).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склад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5.10.4.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канцтовары,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исключением калькуляторов.</w:t>
      </w:r>
      <w:proofErr w:type="gramEnd"/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нем. Нормы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сложившихся фактических данных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прошлый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утверждает отдельным приказом руководителя.</w:t>
      </w:r>
    </w:p>
    <w:p w:rsidR="00E82F83" w:rsidRPr="00CA6E29" w:rsidRDefault="00C85A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5.10.5</w:t>
      </w:r>
      <w:r w:rsidR="006610D9"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запчастей и другого имущества за балансом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на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транспортным средствам, выданные взамен изношенных»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условной оценке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другие 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  <w:proofErr w:type="gramEnd"/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E82F83" w:rsidRPr="00CA6E29" w:rsidRDefault="006610D9" w:rsidP="006751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E82F83" w:rsidRDefault="006610D9" w:rsidP="0067518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поврежденной или не подлежащей ремонту шины принимает комиссия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комиссия оформляет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 карточке учета автомобильной шины,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форма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разработана учреждением самостоятельно.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E82F83" w:rsidRPr="00CA6E29" w:rsidRDefault="006610D9" w:rsidP="0067518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документальной передачей остатков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09,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подлежащих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указанном счете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 производится.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:rsidR="00E82F83" w:rsidRPr="00CA6E29" w:rsidRDefault="006610D9" w:rsidP="0067518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:rsidR="00E82F83" w:rsidRPr="00CA6E29" w:rsidRDefault="006610D9" w:rsidP="0067518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:rsidR="00E82F83" w:rsidRPr="00CA6E29" w:rsidRDefault="006610D9" w:rsidP="0067518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5.11.1. Списание материальных запасов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164968" w:rsidRPr="00522D52" w:rsidRDefault="00164968" w:rsidP="00164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.2 Выдача из аптеки в медицинские подразделения (отделения) наркотических, психотропных веществ и их </w:t>
      </w:r>
      <w:proofErr w:type="spellStart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, лекарственных средств и медицинских изделий, подлежащих предметно-количественному учету, оформляется отдельным Требованием-накладной (ф. 0510451).</w:t>
      </w:r>
    </w:p>
    <w:p w:rsidR="00164968" w:rsidRPr="00522D52" w:rsidRDefault="00164968" w:rsidP="001649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каждого месяца старшая медсестра представляет в бухгалтерию утвержденный главным </w:t>
      </w:r>
      <w:proofErr w:type="spellStart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врачем</w:t>
      </w:r>
      <w:proofErr w:type="spellEnd"/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 о движении лекарственных средств, подлежащих предметно-количественному учету, по форме № 2-МЗ. На основании отчета бухгалтер списывает лекарственные средства, подлежащие предметно-количественному учету, по Акту о списании материальных запасов (ф. 0504230).</w:t>
      </w:r>
    </w:p>
    <w:p w:rsidR="00E82F83" w:rsidRDefault="00164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5.11.3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Выдача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C95D0A" w:rsidRPr="00522D52" w:rsidRDefault="00C95D0A" w:rsidP="00C95D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Продукты питания, выданные в столовую для нужд учреждения, списываются на основании Меню-требования на выдачу продуктов питания (ф. 0504202).</w:t>
      </w:r>
    </w:p>
    <w:p w:rsidR="00C95D0A" w:rsidRDefault="00C95D0A" w:rsidP="00C95D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.4. Мягкий и хозяйственный инвентарь, посуда списываются по Акту о списании мягкого и хозяйственного инвентаря (ф. 0504143).</w:t>
      </w:r>
    </w:p>
    <w:p w:rsidR="00671123" w:rsidRPr="00522D52" w:rsidRDefault="00671123" w:rsidP="00671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6.1.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E82F83" w:rsidRPr="00CA6E29" w:rsidRDefault="006610D9" w:rsidP="0067518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E82F83" w:rsidRDefault="006610D9" w:rsidP="0067518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E82F83" w:rsidRPr="00CA6E29" w:rsidRDefault="006610D9" w:rsidP="0067518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E82F83" w:rsidRDefault="006610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B75FC5" w:rsidRPr="00522D52" w:rsidRDefault="00B75FC5" w:rsidP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7.1. В себестоимость услуг по программам обязательного медицинского страхования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затраты согласно методике расчета тарифов из Правил,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28.02.2019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108н.</w:t>
      </w:r>
    </w:p>
    <w:p w:rsidR="00B75FC5" w:rsidRPr="00522D52" w:rsidRDefault="00B75FC5" w:rsidP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Учет расходов по формированию себестоимости ведется раздельно по группам видов 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F83" w:rsidRPr="00CA6E29" w:rsidRDefault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E82F83" w:rsidRPr="00CA6E29" w:rsidRDefault="006610D9" w:rsidP="006751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E82F83" w:rsidRPr="00CA6E29" w:rsidRDefault="006610D9" w:rsidP="006751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E82F83" w:rsidRPr="00CA6E29" w:rsidRDefault="006610D9" w:rsidP="006751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E82F83" w:rsidRPr="00CA6E29" w:rsidRDefault="006610D9" w:rsidP="006751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продукции);</w:t>
      </w:r>
    </w:p>
    <w:p w:rsidR="00E82F83" w:rsidRDefault="006610D9" w:rsidP="0067518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E82F83" w:rsidRPr="00CA6E29" w:rsidRDefault="006610D9" w:rsidP="006751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E82F83" w:rsidRPr="00CA6E29" w:rsidRDefault="006610D9" w:rsidP="006751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учреждения, естественная убыль;</w:t>
      </w:r>
    </w:p>
    <w:p w:rsidR="00E82F83" w:rsidRPr="00CA6E29" w:rsidRDefault="006610D9" w:rsidP="006751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E82F83" w:rsidRPr="00CA6E29" w:rsidRDefault="006610D9" w:rsidP="006751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E82F83" w:rsidRPr="00CA6E29" w:rsidRDefault="006610D9" w:rsidP="006751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:rsidR="00E82F83" w:rsidRDefault="006610D9" w:rsidP="0067518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B75FC5" w:rsidRPr="00B75FC5" w:rsidRDefault="00B75FC5" w:rsidP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FC5">
        <w:rPr>
          <w:rFonts w:hAnsi="Times New Roman" w:cs="Times New Roman"/>
          <w:color w:val="000000"/>
          <w:sz w:val="24"/>
          <w:szCs w:val="24"/>
          <w:lang w:val="ru-RU"/>
        </w:rPr>
        <w:t>7.4. Накладные расходы распределяются на себестоимость услуг (готовой продукции) по окончании месяца пропорционально прямым затратам в месяце распределения к объему выручки</w:t>
      </w:r>
      <w:r w:rsidRPr="00B75FC5">
        <w:rPr>
          <w:rFonts w:hAnsi="Times New Roman" w:cs="Times New Roman"/>
          <w:color w:val="000000"/>
          <w:sz w:val="24"/>
          <w:szCs w:val="24"/>
        </w:rPr>
        <w:t> </w:t>
      </w:r>
      <w:r w:rsidRPr="00B75FC5">
        <w:rPr>
          <w:rFonts w:hAnsi="Times New Roman" w:cs="Times New Roman"/>
          <w:color w:val="000000"/>
          <w:sz w:val="24"/>
          <w:szCs w:val="24"/>
          <w:lang w:val="ru-RU"/>
        </w:rPr>
        <w:t>от реализации услуг (готовой продукции).</w:t>
      </w:r>
    </w:p>
    <w:p w:rsidR="00E82F83" w:rsidRPr="00CA6E29" w:rsidRDefault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принимающих непосредственного участия 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E82F83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E82F83" w:rsidRDefault="006610D9" w:rsidP="006751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E82F83" w:rsidRPr="00CA6E29" w:rsidRDefault="006610D9" w:rsidP="0067518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:rsidR="00E82F83" w:rsidRPr="00CA6E29" w:rsidRDefault="006610D9" w:rsidP="0067518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E82F83" w:rsidRPr="00CA6E29" w:rsidRDefault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7.6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Расходами, которые не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E82F83" w:rsidRPr="00CA6E29" w:rsidRDefault="006610D9" w:rsidP="006751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:rsidR="00E82F83" w:rsidRDefault="006610D9" w:rsidP="006751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:rsidR="00E82F83" w:rsidRPr="00CA6E29" w:rsidRDefault="006610D9" w:rsidP="006751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:rsidR="00E82F83" w:rsidRPr="00CA6E29" w:rsidRDefault="006610D9" w:rsidP="006751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амортизация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недвижимому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 средств, выделенных учредителем;</w:t>
      </w:r>
    </w:p>
    <w:p w:rsidR="00E82F83" w:rsidRDefault="006610D9" w:rsidP="0067518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B75F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7.7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Себестоимость услуг (готовой продукции) за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отчетный месяц, сформированная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 за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:rsidR="00E82F83" w:rsidRPr="00CA6E29" w:rsidRDefault="00E82F83" w:rsidP="00B75FC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FC5" w:rsidRDefault="00B75F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8.1. Выдача денежных средств под отчет производится путем:</w:t>
      </w:r>
    </w:p>
    <w:p w:rsidR="00E82F83" w:rsidRPr="00CA6E29" w:rsidRDefault="006610D9" w:rsidP="0067518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8.2. Учреждение выдает денежные средства под отчет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лицам,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состоят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штате,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отдельного приказа руководителя.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выданным суммам проходят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 между юридическими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указанием Центрального банка.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Указаний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09.12.2019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5348-У.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них возмещаются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размере, установленном Порядком оформления служебных командировок, который утверждается отдельным приказом руководителя. Возмещение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фактическим расходам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приносящей доход.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8.6. Предельные сроки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выданным доверенностям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:rsidR="00E82F83" w:rsidRPr="00CA6E29" w:rsidRDefault="006610D9" w:rsidP="0067518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получения;</w:t>
      </w:r>
    </w:p>
    <w:p w:rsidR="00E82F83" w:rsidRPr="00CA6E29" w:rsidRDefault="006610D9" w:rsidP="0067518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материальных ценностей.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полной материальной ответственности.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8.7. Для подтверждения произведенных расходов, помимо кассового чека, подотчетное лицо должно представить в бухгалтерию вместе с отчетом дополнительные документы:</w:t>
      </w:r>
    </w:p>
    <w:p w:rsidR="00E82F83" w:rsidRDefault="006610D9" w:rsidP="0067518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товар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 выполненных работ, оказанных услуг;</w:t>
      </w:r>
    </w:p>
    <w:p w:rsidR="00E82F83" w:rsidRPr="00CA6E29" w:rsidRDefault="006610D9" w:rsidP="0067518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счет-фактуру, если продавец применяет НДС;</w:t>
      </w:r>
    </w:p>
    <w:p w:rsidR="00E82F83" w:rsidRPr="00CA6E29" w:rsidRDefault="006610D9" w:rsidP="0067518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гарантийный талон, если товар имеет гарантийный срок.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Отсутствие полного комплекта документов может повлечь отказ в принятии расходов к учету. Перерасход подотчетных средств не допускается.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9.1. Денежные средства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9.2. Задолженность дебиторов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выставленного арендатору счета, счетов поставщиков (подрядчиков), Бухгалтерской справки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0504833).</w:t>
      </w:r>
    </w:p>
    <w:p w:rsidR="00E82F83" w:rsidRPr="00CA6E29" w:rsidRDefault="007F4A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9.3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Аналитический учет расчетов по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пособиям и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иным социальным выплатам ведется в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</w:t>
      </w:r>
      <w:r w:rsidR="006610D9">
        <w:rPr>
          <w:rFonts w:hAnsi="Times New Roman" w:cs="Times New Roman"/>
          <w:color w:val="000000"/>
          <w:sz w:val="24"/>
          <w:szCs w:val="24"/>
        </w:rPr>
        <w:t> 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— получателей социальных выплат.</w:t>
      </w:r>
    </w:p>
    <w:p w:rsidR="00E82F83" w:rsidRPr="00CA6E29" w:rsidRDefault="007F4A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9.4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взысканию, — приложение 19.</w:t>
      </w:r>
      <w:r w:rsidR="006610D9" w:rsidRPr="00CA6E29">
        <w:rPr>
          <w:lang w:val="ru-RU"/>
        </w:rPr>
        <w:br/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:rsidR="00E82F83" w:rsidRPr="00CA6E29" w:rsidRDefault="004C6C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9.5</w:t>
      </w:r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</w:t>
      </w:r>
      <w:proofErr w:type="spellStart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="006610D9"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утвержден в положении о списании кредиторской задолженности — приложение 20.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Финансовый результат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10.1.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«Доходы».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10.2.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долгосрочным договорам (абонементам), срок исполнения которых превышает один год,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доходов будущих периодов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сумме договора. Доходы будущих периодов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текущих доходах равномерно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день каждого 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разрезе каждого договора (абонемента). Аналогичный порядок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применяется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договорам,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которыми услуги оказываются неравномерно.</w:t>
      </w:r>
    </w:p>
    <w:p w:rsidR="00E82F83" w:rsidRPr="00A643BF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A643BF" w:rsidRDefault="00A643BF" w:rsidP="00A64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начисляются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по программам ОМС и ДМС – на дату подписания первичного документа со страховой медицинской организацией: акта об оказании услуг, акта сверки и пр.;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услуг, работ – на дату подписания акта оказанных услуг, выполненных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оплате пеней, штрафа, неустойки;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на основании ведомости расхождений по результатам инвентаризации (ф. 0504092), на дату оценки ущерба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основании акта комиссии;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 имущества;</w:t>
      </w:r>
    </w:p>
    <w:p w:rsidR="00A643BF" w:rsidRPr="00522D52" w:rsidRDefault="00A643BF" w:rsidP="00A643B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2D52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 заключался;</w:t>
      </w:r>
    </w:p>
    <w:p w:rsidR="00A643BF" w:rsidRPr="00A643BF" w:rsidRDefault="00A643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отношении платных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 срок действия договора менее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даты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окончания исполнения договора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разные отчетные годы, учреждение применяет положения СГС «Долгосрочные договоры».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10.4.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исполнения договора строительного подряда учреждение определяет процент исполнения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как соотношение расходов, понесенных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выполненным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объемом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сводным сметным расчетом,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общей величины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долгосрочному договору строительного подряда, предусмотренной сводным сметным расчетом.</w:t>
      </w:r>
      <w:proofErr w:type="gramEnd"/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10.5. Учреждение осуществляет все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:rsidR="00E82F83" w:rsidRPr="00CA6E29" w:rsidRDefault="006610D9" w:rsidP="0067518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:rsidR="00E82F83" w:rsidRPr="00CA6E29" w:rsidRDefault="006610D9" w:rsidP="0067518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лимиту, утвержденному распоряжением учредителя.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E82F83" w:rsidRPr="00CA6E29" w:rsidRDefault="006610D9" w:rsidP="006751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страхование имущества, гражданской ответственности;</w:t>
      </w:r>
    </w:p>
    <w:p w:rsidR="00E82F83" w:rsidRPr="00CA6E29" w:rsidRDefault="006610D9" w:rsidP="006751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отпуск;</w:t>
      </w:r>
    </w:p>
    <w:p w:rsidR="00E82F83" w:rsidRPr="00CA6E29" w:rsidRDefault="006610D9" w:rsidP="006751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взносы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капремонт многоквартирных домов;</w:t>
      </w:r>
    </w:p>
    <w:p w:rsidR="00E82F83" w:rsidRPr="00CA6E29" w:rsidRDefault="006610D9" w:rsidP="006751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плата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сертификат ключа ЭП;</w:t>
      </w:r>
    </w:p>
    <w:p w:rsidR="00E82F83" w:rsidRPr="00CA6E29" w:rsidRDefault="006610D9" w:rsidP="006751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упущенная выгода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сдачи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аренду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льготных условиях;</w:t>
      </w:r>
    </w:p>
    <w:p w:rsidR="00E82F83" w:rsidRDefault="006610D9" w:rsidP="0067518E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претензионным требованиям, по обязательствам при приемке результатов контрактов в ЕИС в сфере закупок,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долгам, под снижение стоимости материальных запасов.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10.7.1. Резерв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выплатам отпускных персоналу. Порядок расчета резерва приведен в приложении 14.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10.7.2.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искам, претензионным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случае, когда учреждение является стороной судебного разбирательства. Величина резерва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размере претензии, предъявленной учреждению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судебном иске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претензионных документах досудебного разбирательства.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 если претензии отозваны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признаны судом, сумма резерва списывается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учета методом «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Резерв по обязательствам, возникающим при поступлении товаров,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отражается на дату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10.7.4.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ремонту. Определяется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текущий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первый рабочий день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основе плановых показателей годовой выручки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рассчитывается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суммы плановой выручки, умноженной на коэффициент предельного размера. Коэффициент рассчитывается как соотношение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гарантийный ремонт за предшествующие три года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объему выручки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предшествующие три года.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10.7.5.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 создается, если изменились условия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учреждения причинам, вследствие чего появилась вероятность убыточности заключенного договора. Основание для создания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финансово-экономическое обоснование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планового отдела, доказывающее, что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исполнение договора превышают доход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нему. Сумма резерва равна разнице между предполагаемыми доходами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расходами, увеличенной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сумму санкций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договору. 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10.7.6.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договору (соглашению)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 учреждение обязано заплатить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разборку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утилизацию основного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восстановить участок,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котором был расположен объект. Величина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предполагаемых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утилизацию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восстановление участка.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10.7.7.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отчетного квартала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случае, когда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этот день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поступили первичные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контрагентов. Сумма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отдела. Расчет производится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10.7.8.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равен сумме числящейся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нем дебиторской задолженности.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резерв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отражается.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157н, пункты 7,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«Резервы»,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10.8. Доходы от целевых субсидий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соглашению,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 более года, учреждение отражает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счетах:</w:t>
      </w:r>
    </w:p>
    <w:p w:rsidR="00E82F83" w:rsidRPr="00CA6E29" w:rsidRDefault="006610D9" w:rsidP="0067518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текущем году»;</w:t>
      </w:r>
    </w:p>
    <w:p w:rsidR="00E82F83" w:rsidRPr="00CA6E29" w:rsidRDefault="006610D9" w:rsidP="0067518E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очередные годы».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Санкционирование расходов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порядке, приведенном в приложении 15.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Представительские расходы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представительским расходам относятся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официальным приемом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обслуживанием представителей других организаций,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переговорах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установления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>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официальный прием или обслуживание: завтрак, обед или иное аналогичное мероприятие для участников мероприятия;</w:t>
      </w:r>
    </w:p>
    <w:p w:rsidR="00E82F83" w:rsidRPr="00CA6E29" w:rsidRDefault="006610D9" w:rsidP="0067518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питьевой водой, напитками;</w:t>
      </w:r>
    </w:p>
    <w:p w:rsidR="00E82F83" w:rsidRDefault="006610D9" w:rsidP="0067518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месту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12.2. Документами, подтверждающими обоснованность представительских расходов, являются:</w:t>
      </w:r>
    </w:p>
    <w:p w:rsidR="00E82F83" w:rsidRPr="00CA6E29" w:rsidRDefault="006610D9" w:rsidP="0067518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проведении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назначении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:rsidR="00E82F83" w:rsidRPr="00CA6E29" w:rsidRDefault="006610D9" w:rsidP="0067518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E82F83" w:rsidRPr="00CA6E29" w:rsidRDefault="006610D9" w:rsidP="0067518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 расходах, составленный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E82F83" w:rsidRPr="00CA6E29" w:rsidRDefault="006610D9" w:rsidP="0067518E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произведенных расходах.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Денежные документы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13.1. В составе денежных документов учитываются:</w:t>
      </w:r>
    </w:p>
    <w:p w:rsidR="00E82F83" w:rsidRDefault="006610D9" w:rsidP="006751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талоны на ГСМ и масла;</w:t>
      </w:r>
    </w:p>
    <w:p w:rsidR="00E82F83" w:rsidRPr="00CA6E29" w:rsidRDefault="006610D9" w:rsidP="006751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оплаченные путевки в дома отдыха, санатории, турбазы и пр.;</w:t>
      </w:r>
    </w:p>
    <w:p w:rsidR="00E82F83" w:rsidRPr="00CA6E29" w:rsidRDefault="006610D9" w:rsidP="006751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оформленные на бумажном носителе проездные документы (билеты);</w:t>
      </w:r>
    </w:p>
    <w:p w:rsidR="00E82F83" w:rsidRDefault="006610D9" w:rsidP="0067518E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 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169 Инструкции к Единому плану счетов № 157н.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13.3. Выдача талонов фиксируется в Книге учета движения талонов.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Форма книги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утверждается учреждением самостоятельно.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Целевые средства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14.1. Расчеты с целевыми поступлениями на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17 и целевыми выбытиями на 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Инвентаризация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17.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9 СГС «Учетная политика, оценочные значения и ошибки».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 4.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 Руководителями обособленных структурных подразделений учреждения создаются инвентаризационные комиссии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числа сотрудников подразделения приказом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подразделению.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4. Результаты любых инвентаризаций, проведенных в период с 1 октября и до годовой отчетности, в том числе по причинам, не связанным с подготовкой к годовой отчетности, например при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 МОЛ или недостаче, признаются достаточными для подтверждения достоверности годовой отчетности.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Порядок организации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обеспечения внутреннего контроля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Внутренний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E82F83" w:rsidRDefault="006610D9" w:rsidP="0067518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начальник планово-экономического отдела, сотрудники отдела;</w:t>
      </w:r>
    </w:p>
    <w:p w:rsidR="00E82F83" w:rsidRPr="00CA6E29" w:rsidRDefault="006610D9" w:rsidP="0067518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начальник юридического отдела, сотрудники отдела;</w:t>
      </w:r>
    </w:p>
    <w:p w:rsidR="00E82F83" w:rsidRPr="00CA6E29" w:rsidRDefault="006610D9" w:rsidP="0067518E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внутреннем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внутренних проверок финансово-хозяйственной деятельности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приложении 11.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VIII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События после отчетной даты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16.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IX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:rsidR="00E82F83" w:rsidRPr="00CA6E29" w:rsidRDefault="006610D9" w:rsidP="0067518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до 10-го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периодом;</w:t>
      </w:r>
    </w:p>
    <w:p w:rsidR="00E82F83" w:rsidRPr="00CA6E29" w:rsidRDefault="006610D9" w:rsidP="0067518E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— до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января года,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отчетным годом.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Обособленными структурными подразделениями отчетность представляется главному бухгалтеру учреждения.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целях составления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 величина денежных средств определяется прямым методом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рассчитывается как разница между всеми денежными притоками учреждения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оттоками.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 Бухгалтерская отчетность формируется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виде электронного документа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«Бюджет». Бумажная копия комплекта отчетности хранится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Pr="00CA6E29">
        <w:rPr>
          <w:lang w:val="ru-RU"/>
        </w:rPr>
        <w:br/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7.1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В целях раскрытия в годовой бухгалтерской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 юридических и физических лицах, на деятельность которых учреждение способно оказывать влияние или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оказывать влияние на деятельность учреждения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связанные стороны), а также об операциях со связанными сторонами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сотрудник, назначенный приказом руководителя, представляет в бухгалтерию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на 1 января года, следующего за отчетным.</w:t>
      </w:r>
      <w:proofErr w:type="gramEnd"/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Срок представления информации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СГС «Информация о связанных сторонах».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:rsidR="00E82F83" w:rsidRPr="00CA6E29" w:rsidRDefault="006610D9" w:rsidP="006751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:rsidR="00E82F83" w:rsidRDefault="006610D9" w:rsidP="006751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тип организации. Для физического лица указывается «физическое лицо»;</w:t>
      </w:r>
    </w:p>
    <w:p w:rsidR="00E82F83" w:rsidRPr="00CA6E29" w:rsidRDefault="006610D9" w:rsidP="006751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:rsidR="00E82F83" w:rsidRPr="00CA6E29" w:rsidRDefault="006610D9" w:rsidP="0067518E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дата включения (исключения) в перечень связанных сторон. Дата указывается в формате «ММ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ГГГ».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F83" w:rsidRPr="00CA6E29" w:rsidRDefault="006610D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X</w:t>
      </w:r>
      <w:r w:rsidRPr="00CA6E29">
        <w:rPr>
          <w:b/>
          <w:bCs/>
          <w:color w:val="252525"/>
          <w:spacing w:val="-2"/>
          <w:sz w:val="48"/>
          <w:szCs w:val="48"/>
          <w:lang w:val="ru-RU"/>
        </w:rPr>
        <w:t>. Порядок передачи документов бухгалтерского учета при смене руководителя или главного бухгалтера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— учредитель).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:rsidR="00E82F83" w:rsidRDefault="006610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E82F83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E82F83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E82F83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Default="006610D9" w:rsidP="006751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2F83" w:rsidRPr="00CA6E29" w:rsidRDefault="006610D9" w:rsidP="0067518E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 учреждения.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E82F83" w:rsidRPr="00CA6E29" w:rsidRDefault="00661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9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— учредителю (руководителю учреждения,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9"/>
        <w:gridCol w:w="3038"/>
        <w:gridCol w:w="420"/>
      </w:tblGrid>
      <w:tr w:rsidR="00E82F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2F83" w:rsidRDefault="006610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83" w:rsidRPr="006109C0" w:rsidRDefault="00610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Н.Г.Пак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2F83" w:rsidRDefault="00E82F83"/>
        </w:tc>
      </w:tr>
      <w:tr w:rsidR="00E82F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E8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E8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83" w:rsidRDefault="00E8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10D9" w:rsidRDefault="006610D9">
      <w:bookmarkStart w:id="0" w:name="_GoBack"/>
      <w:bookmarkEnd w:id="0"/>
    </w:p>
    <w:sectPr w:rsidR="006610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5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C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5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64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44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82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34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74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24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62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C5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3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B7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28A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A5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13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5E2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E0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F6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D15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C14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692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594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116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7A1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55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E32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385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B82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B06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5E7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32">
    <w:nsid w:val="50FF1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6C6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930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B6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652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924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EC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154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46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E00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4C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350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620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6882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AD4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F71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442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A77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CD2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365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C52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4F1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536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0F4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7"/>
  </w:num>
  <w:num w:numId="3">
    <w:abstractNumId w:val="15"/>
  </w:num>
  <w:num w:numId="4">
    <w:abstractNumId w:val="46"/>
  </w:num>
  <w:num w:numId="5">
    <w:abstractNumId w:val="10"/>
  </w:num>
  <w:num w:numId="6">
    <w:abstractNumId w:val="34"/>
  </w:num>
  <w:num w:numId="7">
    <w:abstractNumId w:val="6"/>
  </w:num>
  <w:num w:numId="8">
    <w:abstractNumId w:val="12"/>
  </w:num>
  <w:num w:numId="9">
    <w:abstractNumId w:val="22"/>
  </w:num>
  <w:num w:numId="10">
    <w:abstractNumId w:val="30"/>
  </w:num>
  <w:num w:numId="11">
    <w:abstractNumId w:val="53"/>
  </w:num>
  <w:num w:numId="12">
    <w:abstractNumId w:val="27"/>
  </w:num>
  <w:num w:numId="13">
    <w:abstractNumId w:val="36"/>
  </w:num>
  <w:num w:numId="14">
    <w:abstractNumId w:val="45"/>
  </w:num>
  <w:num w:numId="15">
    <w:abstractNumId w:val="26"/>
  </w:num>
  <w:num w:numId="16">
    <w:abstractNumId w:val="54"/>
  </w:num>
  <w:num w:numId="17">
    <w:abstractNumId w:val="42"/>
  </w:num>
  <w:num w:numId="18">
    <w:abstractNumId w:val="35"/>
  </w:num>
  <w:num w:numId="19">
    <w:abstractNumId w:val="3"/>
  </w:num>
  <w:num w:numId="20">
    <w:abstractNumId w:val="5"/>
  </w:num>
  <w:num w:numId="21">
    <w:abstractNumId w:val="41"/>
  </w:num>
  <w:num w:numId="22">
    <w:abstractNumId w:val="40"/>
  </w:num>
  <w:num w:numId="23">
    <w:abstractNumId w:val="2"/>
  </w:num>
  <w:num w:numId="24">
    <w:abstractNumId w:val="17"/>
  </w:num>
  <w:num w:numId="25">
    <w:abstractNumId w:val="55"/>
  </w:num>
  <w:num w:numId="26">
    <w:abstractNumId w:val="44"/>
  </w:num>
  <w:num w:numId="27">
    <w:abstractNumId w:val="32"/>
  </w:num>
  <w:num w:numId="28">
    <w:abstractNumId w:val="52"/>
  </w:num>
  <w:num w:numId="29">
    <w:abstractNumId w:val="19"/>
  </w:num>
  <w:num w:numId="30">
    <w:abstractNumId w:val="29"/>
  </w:num>
  <w:num w:numId="31">
    <w:abstractNumId w:val="16"/>
  </w:num>
  <w:num w:numId="32">
    <w:abstractNumId w:val="25"/>
  </w:num>
  <w:num w:numId="33">
    <w:abstractNumId w:val="1"/>
  </w:num>
  <w:num w:numId="34">
    <w:abstractNumId w:val="20"/>
  </w:num>
  <w:num w:numId="35">
    <w:abstractNumId w:val="9"/>
  </w:num>
  <w:num w:numId="36">
    <w:abstractNumId w:val="39"/>
  </w:num>
  <w:num w:numId="37">
    <w:abstractNumId w:val="37"/>
  </w:num>
  <w:num w:numId="38">
    <w:abstractNumId w:val="31"/>
  </w:num>
  <w:num w:numId="39">
    <w:abstractNumId w:val="11"/>
  </w:num>
  <w:num w:numId="40">
    <w:abstractNumId w:val="50"/>
  </w:num>
  <w:num w:numId="41">
    <w:abstractNumId w:val="24"/>
  </w:num>
  <w:num w:numId="42">
    <w:abstractNumId w:val="13"/>
  </w:num>
  <w:num w:numId="43">
    <w:abstractNumId w:val="49"/>
  </w:num>
  <w:num w:numId="44">
    <w:abstractNumId w:val="21"/>
  </w:num>
  <w:num w:numId="45">
    <w:abstractNumId w:val="51"/>
  </w:num>
  <w:num w:numId="46">
    <w:abstractNumId w:val="4"/>
  </w:num>
  <w:num w:numId="47">
    <w:abstractNumId w:val="23"/>
  </w:num>
  <w:num w:numId="48">
    <w:abstractNumId w:val="8"/>
  </w:num>
  <w:num w:numId="49">
    <w:abstractNumId w:val="0"/>
  </w:num>
  <w:num w:numId="50">
    <w:abstractNumId w:val="7"/>
  </w:num>
  <w:num w:numId="51">
    <w:abstractNumId w:val="18"/>
  </w:num>
  <w:num w:numId="52">
    <w:abstractNumId w:val="38"/>
  </w:num>
  <w:num w:numId="53">
    <w:abstractNumId w:val="14"/>
  </w:num>
  <w:num w:numId="54">
    <w:abstractNumId w:val="43"/>
  </w:num>
  <w:num w:numId="55">
    <w:abstractNumId w:val="33"/>
  </w:num>
  <w:num w:numId="56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1A9"/>
    <w:rsid w:val="000D23FB"/>
    <w:rsid w:val="00164968"/>
    <w:rsid w:val="002454A6"/>
    <w:rsid w:val="002862A6"/>
    <w:rsid w:val="002D33B1"/>
    <w:rsid w:val="002D3591"/>
    <w:rsid w:val="003514A0"/>
    <w:rsid w:val="004C6C13"/>
    <w:rsid w:val="004F7E17"/>
    <w:rsid w:val="005A05CE"/>
    <w:rsid w:val="006109C0"/>
    <w:rsid w:val="00653AF6"/>
    <w:rsid w:val="006610D9"/>
    <w:rsid w:val="00671123"/>
    <w:rsid w:val="0067518E"/>
    <w:rsid w:val="00777E64"/>
    <w:rsid w:val="007F4A03"/>
    <w:rsid w:val="009A67D6"/>
    <w:rsid w:val="009F5694"/>
    <w:rsid w:val="00A643BF"/>
    <w:rsid w:val="00AF37CB"/>
    <w:rsid w:val="00B73A5A"/>
    <w:rsid w:val="00B75FC5"/>
    <w:rsid w:val="00BA09BE"/>
    <w:rsid w:val="00C85A84"/>
    <w:rsid w:val="00C95D0A"/>
    <w:rsid w:val="00CA6E29"/>
    <w:rsid w:val="00D34325"/>
    <w:rsid w:val="00D37614"/>
    <w:rsid w:val="00D509E7"/>
    <w:rsid w:val="00D73DD5"/>
    <w:rsid w:val="00DF2DEB"/>
    <w:rsid w:val="00E32764"/>
    <w:rsid w:val="00E438A1"/>
    <w:rsid w:val="00E470F2"/>
    <w:rsid w:val="00E82F83"/>
    <w:rsid w:val="00EA35A3"/>
    <w:rsid w:val="00ED7F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2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35</Pages>
  <Words>11466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24</cp:revision>
  <dcterms:created xsi:type="dcterms:W3CDTF">2011-11-02T04:15:00Z</dcterms:created>
  <dcterms:modified xsi:type="dcterms:W3CDTF">2025-03-31T11:56:00Z</dcterms:modified>
</cp:coreProperties>
</file>